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D171F" w:rsidRPr="00CD171F" w14:paraId="15F65338" w14:textId="77777777" w:rsidTr="006021B6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98F54" w14:textId="5CBCB535" w:rsidR="00CD171F" w:rsidRPr="00FA2464" w:rsidRDefault="00CD171F" w:rsidP="006021B6">
            <w:pPr>
              <w:spacing w:before="100" w:beforeAutospacing="1" w:after="100" w:afterAutospacing="1" w:line="280" w:lineRule="atLeast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FA2464">
              <w:rPr>
                <w:rFonts w:ascii="Arial" w:eastAsia="Times New Roman" w:hAnsi="Arial" w:cs="Arial"/>
                <w:b/>
                <w:bCs/>
                <w:spacing w:val="10"/>
                <w:sz w:val="32"/>
                <w:szCs w:val="32"/>
                <w:lang w:val="fr-FR" w:eastAsia="en-GB"/>
              </w:rPr>
              <w:t>COMUNICAT DE PRESĂ</w:t>
            </w:r>
          </w:p>
          <w:p w14:paraId="7E5C7376" w14:textId="77777777" w:rsidR="00CD171F" w:rsidRPr="00FA2464" w:rsidRDefault="00CD171F" w:rsidP="00602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shd w:val="clear" w:color="auto" w:fill="FFFF00"/>
                <w:lang w:val="en-US" w:eastAsia="en-GB"/>
              </w:rPr>
              <w:t> </w:t>
            </w:r>
          </w:p>
          <w:p w14:paraId="3BC66FED" w14:textId="258A8ACD" w:rsidR="00CD171F" w:rsidRPr="00FA2464" w:rsidRDefault="00CD171F" w:rsidP="00CD1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</w:p>
          <w:p w14:paraId="59BE759B" w14:textId="77777777" w:rsidR="00CD171F" w:rsidRPr="00FA2464" w:rsidRDefault="00CD171F" w:rsidP="00CD1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ICN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susține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Planul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în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zece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puncte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al OMS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pentru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extinderea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forței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de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muncă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din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domeniul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sănătății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în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Europa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și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solicită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acțiuni</w:t>
            </w:r>
            <w:proofErr w:type="spellEnd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FA24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urgente</w:t>
            </w:r>
            <w:proofErr w:type="spellEnd"/>
          </w:p>
          <w:p w14:paraId="68B57FD7" w14:textId="2489E90E" w:rsidR="00CD171F" w:rsidRPr="00CD171F" w:rsidRDefault="00CD171F" w:rsidP="00CD17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o-RO" w:eastAsia="en-GB"/>
              </w:rPr>
            </w:pPr>
          </w:p>
        </w:tc>
      </w:tr>
      <w:tr w:rsidR="00CD171F" w:rsidRPr="00CD171F" w14:paraId="185657C3" w14:textId="77777777" w:rsidTr="006021B6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E4B6" w14:textId="3246C440" w:rsidR="00CD171F" w:rsidRPr="00CD171F" w:rsidRDefault="00CD171F" w:rsidP="006021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17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Geneva, </w:t>
            </w:r>
            <w:proofErr w:type="spellStart"/>
            <w:r w:rsidRPr="00CD17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Elveția</w:t>
            </w:r>
            <w:proofErr w:type="spellEnd"/>
            <w:r w:rsidRPr="00CD17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, </w:t>
            </w:r>
            <w:r w:rsidRPr="00CD171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14 </w:t>
            </w:r>
            <w:proofErr w:type="spellStart"/>
            <w:r w:rsidRPr="00CD17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septembrie</w:t>
            </w:r>
            <w:proofErr w:type="spellEnd"/>
            <w:r w:rsidRPr="00CD17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2022</w:t>
            </w:r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Consiliul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Internațional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Asistenților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Medicali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proofErr w:type="gram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ICN) 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salută</w:t>
            </w:r>
            <w:proofErr w:type="spellEnd"/>
            <w:proofErr w:type="gram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publicarea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celui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recent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raport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Organizației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Mondiale a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Sănătății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privind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forța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muncă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care se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dezvăluie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deficite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pe care Hans Kluge,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directorul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regional al OMS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pentru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Europa, le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descrie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fiind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 "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bombă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ceas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".</w:t>
            </w:r>
          </w:p>
          <w:p w14:paraId="4D3DE63E" w14:textId="672AC316" w:rsidR="00CD171F" w:rsidRPr="00CD171F" w:rsidRDefault="00CD171F" w:rsidP="006021B6">
            <w:pPr>
              <w:spacing w:before="100" w:beforeAutospacing="1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Raportul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hyperlink r:id="rId6" w:tgtFrame="_blank" w:history="1">
              <w:r w:rsidRPr="00CD17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Health and Care Workforce in Europe: Time to Act</w:t>
              </w:r>
            </w:hyperlink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CD171F">
              <w:rPr>
                <w:rFonts w:ascii="Arial" w:hAnsi="Arial" w:cs="Arial"/>
                <w:sz w:val="24"/>
                <w:szCs w:val="24"/>
              </w:rPr>
              <w:t>Forța</w:t>
            </w:r>
            <w:proofErr w:type="spellEnd"/>
            <w:r w:rsidRPr="00CD171F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CD171F">
              <w:rPr>
                <w:rFonts w:ascii="Arial" w:hAnsi="Arial" w:cs="Arial"/>
                <w:sz w:val="24"/>
                <w:szCs w:val="24"/>
              </w:rPr>
              <w:t>muncă</w:t>
            </w:r>
            <w:proofErr w:type="spellEnd"/>
            <w:r w:rsidRPr="00CD17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171F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CD17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171F">
              <w:rPr>
                <w:rFonts w:ascii="Arial" w:hAnsi="Arial" w:cs="Arial"/>
                <w:sz w:val="24"/>
                <w:szCs w:val="24"/>
              </w:rPr>
              <w:t>sănătate</w:t>
            </w:r>
            <w:proofErr w:type="spellEnd"/>
            <w:r w:rsidRPr="00CD17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171F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CD17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171F">
              <w:rPr>
                <w:rFonts w:ascii="Arial" w:hAnsi="Arial" w:cs="Arial"/>
                <w:sz w:val="24"/>
                <w:szCs w:val="24"/>
              </w:rPr>
              <w:t>îngrijire</w:t>
            </w:r>
            <w:proofErr w:type="spellEnd"/>
            <w:r w:rsidRPr="00CD17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171F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CD171F">
              <w:rPr>
                <w:rFonts w:ascii="Arial" w:hAnsi="Arial" w:cs="Arial"/>
                <w:sz w:val="24"/>
                <w:szCs w:val="24"/>
              </w:rPr>
              <w:t xml:space="preserve"> Europa: </w:t>
            </w:r>
            <w:proofErr w:type="spellStart"/>
            <w:r w:rsidRPr="00CD171F">
              <w:rPr>
                <w:rFonts w:ascii="Arial" w:hAnsi="Arial" w:cs="Arial"/>
                <w:sz w:val="24"/>
                <w:szCs w:val="24"/>
              </w:rPr>
              <w:t>timpul</w:t>
            </w:r>
            <w:proofErr w:type="spellEnd"/>
            <w:r w:rsidRPr="00CD17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171F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Pr="00CD17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171F">
              <w:rPr>
                <w:rFonts w:ascii="Arial" w:hAnsi="Arial" w:cs="Arial"/>
                <w:sz w:val="24"/>
                <w:szCs w:val="24"/>
              </w:rPr>
              <w:t>acționăm</w:t>
            </w:r>
            <w:proofErr w:type="spellEnd"/>
            <w:r w:rsidRPr="00CD171F">
              <w:rPr>
                <w:rFonts w:ascii="Arial" w:hAnsi="Arial" w:cs="Arial"/>
                <w:sz w:val="24"/>
                <w:szCs w:val="24"/>
              </w:rPr>
              <w:t xml:space="preserve">”)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evidențiază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multe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dintre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problemele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ridicate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către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ICN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încă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la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începutul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pandemiei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inclusiv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constatările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raportului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hyperlink r:id="rId7" w:tgtFrame="_blank" w:history="1">
              <w:r w:rsidRPr="00CD17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Sustain and Retain</w:t>
              </w:r>
            </w:hyperlink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FA24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proofErr w:type="spellStart"/>
            <w:r w:rsidR="00FA24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Susține</w:t>
            </w:r>
            <w:proofErr w:type="spellEnd"/>
            <w:r w:rsidR="00FA24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A24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="00FA24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A24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menține</w:t>
            </w:r>
            <w:proofErr w:type="spellEnd"/>
            <w:r w:rsidR="00FA24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Printre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aceste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probleme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numără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îmbătrânirea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forței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muncă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domeniul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asistenței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distribuirea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inegală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asistenților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regiune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incapacitatea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guvernelor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a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pregăti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suficienți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asistenți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bazeze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pe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recrutarea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internațională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‘</w:t>
            </w:r>
            <w:proofErr w:type="spellStart"/>
            <w:r w:rsidR="000F7892"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Efect</w:t>
            </w:r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</w:t>
            </w:r>
            <w:proofErr w:type="spellEnd"/>
            <w:r w:rsidR="000F7892"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COVID,’ </w:t>
            </w:r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care a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dus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creșterea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numărului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absentări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pe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caz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boală</w:t>
            </w:r>
            <w:proofErr w:type="spellEnd"/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creșterea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gradului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epuizare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problemelor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sănătate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mintală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rândul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asistenților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precum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niveluri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ridicate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ale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intenției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a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părăsi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profesia</w:t>
            </w:r>
            <w:proofErr w:type="spellEnd"/>
            <w:r w:rsid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2BB24BD" w14:textId="67AC6F3F" w:rsidR="000F7892" w:rsidRDefault="000F7892" w:rsidP="006021B6">
            <w:pPr>
              <w:spacing w:before="100" w:beforeAutospacing="1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Luând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cuvântul</w:t>
            </w:r>
            <w:proofErr w:type="spellEnd"/>
            <w:r w:rsidRP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cadrul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evenimentului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lansare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  <w:r w:rsidRP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raportului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de</w:t>
            </w:r>
            <w:r w:rsidRP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 Tel Aviv, Israel, dl Catton a </w:t>
            </w:r>
            <w:proofErr w:type="spellStart"/>
            <w:r w:rsidRP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declarat</w:t>
            </w:r>
            <w:proofErr w:type="spellEnd"/>
            <w:r w:rsidRPr="000F7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</w:p>
          <w:p w14:paraId="3D930FE8" w14:textId="2E1487E7" w:rsidR="00127C57" w:rsidRDefault="00CD171F" w:rsidP="006021B6">
            <w:pPr>
              <w:spacing w:before="100" w:beforeAutospacing="1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“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Acest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raport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oferă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informații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bază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despre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forța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muncă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domeniul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sănătății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asistenței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din</w:t>
            </w:r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Europa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trebui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fie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reprodus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toate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regiunile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OMS.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Acesta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evidențiază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numeroasele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presiuni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solicitări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extreme</w:t>
            </w:r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 care sunt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supu</w:t>
            </w:r>
            <w:r w:rsid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asisten</w:t>
            </w:r>
            <w:r w:rsid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ții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</w:t>
            </w:r>
            <w:r w:rsid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alte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categorii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personal</w:t>
            </w:r>
            <w:r w:rsid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acest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moment. </w:t>
            </w:r>
            <w:r w:rsid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ICN</w:t>
            </w:r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susține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pe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deplin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concluziile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raportului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inclusiv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planul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său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zece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puncte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care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reprezintă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apel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urgent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către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guverne</w:t>
            </w:r>
            <w:proofErr w:type="spellEnd"/>
            <w:r w:rsid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</w:t>
            </w:r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proofErr w:type="gram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acționa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imediat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vederea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creșterii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propriei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forțe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muncă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domeniul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asistenței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îngrijirii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sănătății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astfel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încât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ace</w:t>
            </w:r>
            <w:r w:rsid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știa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poată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fi </w:t>
            </w:r>
            <w:proofErr w:type="spellStart"/>
            <w:r w:rsid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suficienți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pentru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răspunde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nevoilor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populației</w:t>
            </w:r>
            <w:proofErr w:type="spellEnd"/>
            <w:r w:rsidR="00127C57"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lor. </w:t>
            </w:r>
          </w:p>
          <w:p w14:paraId="1131F065" w14:textId="79593431" w:rsidR="00127C57" w:rsidRDefault="00127C57" w:rsidP="006021B6">
            <w:pPr>
              <w:spacing w:before="100" w:beforeAutospacing="1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Raportul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recunoaște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obligația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națiunil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 a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spori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accesul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îngrijiri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sănătate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FA24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însă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vom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putea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menține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păstra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forța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muncă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domeniul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îngrijirilor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asistenței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medicale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doar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dacă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sprijinim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formarea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educația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dacă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facilităm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progresul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carieră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5DC95E0C" w14:textId="60F811D6" w:rsidR="00151B0B" w:rsidRDefault="00127C57" w:rsidP="006021B6">
            <w:pPr>
              <w:spacing w:before="100" w:beforeAutospacing="1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'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Acest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lucru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nu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poate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aștepta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Avem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nevoie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acțiune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acum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nu de un plan pe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cinci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sau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zece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care nu se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concretiza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niciodată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Este un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apel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acțiune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care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trebuie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pus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aplicare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acum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ltfel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 </w:t>
            </w:r>
            <w:proofErr w:type="spellStart"/>
            <w:r w:rsid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supune</w:t>
            </w:r>
            <w:r w:rsidR="00FA24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proofErr w:type="spellEnd"/>
            <w:r w:rsid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riscului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ca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această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bombă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ceas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explodeze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față</w:t>
            </w:r>
            <w:proofErr w:type="spellEnd"/>
            <w:r w:rsidRPr="00127C5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."</w:t>
            </w:r>
          </w:p>
          <w:p w14:paraId="29D52575" w14:textId="77777777" w:rsidR="00151B0B" w:rsidRPr="00151B0B" w:rsidRDefault="00151B0B" w:rsidP="00151B0B">
            <w:pPr>
              <w:spacing w:before="100" w:beforeAutospacing="1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Dl Catton a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declarat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că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OMS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trebuie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monitorizeze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mod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regulat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progresele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înregistrate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privire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Planul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zece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puncte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prezentat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și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raporteze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privire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realizarea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acestuia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D9B524B" w14:textId="5AB0F3BE" w:rsidR="00151B0B" w:rsidRPr="00151B0B" w:rsidRDefault="00151B0B" w:rsidP="00151B0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</w:pP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Planul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în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zece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puncte</w:t>
            </w:r>
            <w:proofErr w:type="spellEnd"/>
            <w:r w:rsidRPr="00151B0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 OMS:</w:t>
            </w:r>
          </w:p>
          <w:p w14:paraId="3F913C72" w14:textId="2CA86F52" w:rsidR="00D36D96" w:rsidRPr="00D36D96" w:rsidRDefault="00D36D96" w:rsidP="00D36D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D36D96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>Alinierea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educației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nevoile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populației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și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cerințele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serviciilor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sănătate</w:t>
            </w:r>
            <w:proofErr w:type="spellEnd"/>
          </w:p>
          <w:p w14:paraId="41C8AEDF" w14:textId="38031B01" w:rsidR="00D36D96" w:rsidRPr="00D36D96" w:rsidRDefault="00D36D96" w:rsidP="00D36D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</w:pP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2.</w:t>
            </w:r>
            <w:r w:rsidR="00FA2464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>Consolidarea</w:t>
            </w:r>
            <w:proofErr w:type="spellEnd"/>
            <w:r w:rsidRPr="00D36D96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dezvoltării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profesionale</w:t>
            </w:r>
            <w:proofErr w:type="spellEnd"/>
            <w:r w:rsidR="00FA2464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,</w:t>
            </w: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pentru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dota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forța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muncă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noi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cunoștințe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și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competențe</w:t>
            </w:r>
            <w:proofErr w:type="spellEnd"/>
          </w:p>
          <w:p w14:paraId="4AE97BAD" w14:textId="0501FAE7" w:rsidR="00D36D96" w:rsidRPr="00D36D96" w:rsidRDefault="00D36D96" w:rsidP="00D36D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</w:pP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3.</w:t>
            </w:r>
            <w:r w:rsidR="00FA2464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>Extinde</w:t>
            </w:r>
            <w:r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>rea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utiliz</w:t>
            </w:r>
            <w:proofErr w:type="spellEnd"/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val="ro-RO" w:eastAsia="en-GB"/>
              </w:rPr>
              <w:t>ării</w:t>
            </w: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instrumentelor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digitale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care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sprijină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forța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muncă</w:t>
            </w:r>
            <w:proofErr w:type="spellEnd"/>
          </w:p>
          <w:p w14:paraId="7A3A6D71" w14:textId="72C2984D" w:rsidR="00D36D96" w:rsidRPr="00D36D96" w:rsidRDefault="00D36D96" w:rsidP="00D36D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</w:pP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4.</w:t>
            </w:r>
            <w:r w:rsidR="00FA2464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>Dezvoltarea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A2464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unor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strategii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recrutarea</w:t>
            </w:r>
            <w:proofErr w:type="spellEnd"/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și</w:t>
            </w:r>
            <w:proofErr w:type="spellEnd"/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menținerea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lucrători</w:t>
            </w:r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lor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domeniul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sănătății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în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zonele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rurale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și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izolate</w:t>
            </w:r>
            <w:proofErr w:type="spellEnd"/>
          </w:p>
          <w:p w14:paraId="2E8580D6" w14:textId="794D414F" w:rsidR="00D36D96" w:rsidRPr="00D36D96" w:rsidRDefault="00D36D96" w:rsidP="00D36D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</w:pP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5.</w:t>
            </w:r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>Crearea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unor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condiții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lucru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care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să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promoveze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un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echilibru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sănătos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între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viața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profesională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și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cea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personală</w:t>
            </w:r>
            <w:proofErr w:type="spellEnd"/>
          </w:p>
          <w:p w14:paraId="52AC6416" w14:textId="42981FD2" w:rsidR="00D36D96" w:rsidRPr="00D36D96" w:rsidRDefault="00D36D96" w:rsidP="00D36D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</w:pP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6.</w:t>
            </w:r>
            <w:r w:rsidR="00FA2464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>Proteja</w:t>
            </w:r>
            <w:r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>rea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sănăt</w:t>
            </w:r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ății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și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bunăs</w:t>
            </w:r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tării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i</w:t>
            </w: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ntal</w:t>
            </w:r>
            <w:r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forței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muncă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 </w:t>
            </w:r>
          </w:p>
          <w:p w14:paraId="3A8891BC" w14:textId="48E9F64E" w:rsidR="00D36D96" w:rsidRPr="00D36D96" w:rsidRDefault="00D36D96" w:rsidP="00D36D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</w:pP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7.</w:t>
            </w:r>
            <w:r w:rsidR="00FA2464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>Dezvoltarea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capacității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conducere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pentru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guvernanța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și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planificarea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forței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muncă</w:t>
            </w:r>
            <w:proofErr w:type="spellEnd"/>
          </w:p>
          <w:p w14:paraId="244BA8CC" w14:textId="6084B799" w:rsidR="00D36D96" w:rsidRPr="00D36D96" w:rsidRDefault="00D36D96" w:rsidP="00D36D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</w:pP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8.</w:t>
            </w:r>
            <w:r w:rsidR="00FA2464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>Îmbunătățirea</w:t>
            </w:r>
            <w:proofErr w:type="spellEnd"/>
            <w:r w:rsidRPr="00D36D96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sistemelor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informare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în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domeniul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sănătății</w:t>
            </w:r>
            <w:proofErr w:type="spellEnd"/>
            <w:r w:rsidR="00FA2464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,</w:t>
            </w: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pentru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mai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bună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colectare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și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analiză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datelor</w:t>
            </w:r>
            <w:proofErr w:type="spellEnd"/>
          </w:p>
          <w:p w14:paraId="0597693D" w14:textId="1311B99E" w:rsidR="00D36D96" w:rsidRPr="00D36D96" w:rsidRDefault="00D36D96" w:rsidP="00D36D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</w:pP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9.</w:t>
            </w:r>
            <w:r w:rsidR="00FA2464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>Creșterea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investițiilor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publice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în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educația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dezvoltarea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și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protecția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forței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muncă</w:t>
            </w:r>
            <w:proofErr w:type="spellEnd"/>
          </w:p>
          <w:p w14:paraId="419AE5CA" w14:textId="72A609BC" w:rsidR="00D36D96" w:rsidRPr="00CD171F" w:rsidRDefault="00D36D96" w:rsidP="00D36D9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</w:pPr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10.</w:t>
            </w:r>
            <w:r w:rsidR="00FA2464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b/>
                <w:bCs/>
                <w:color w:val="3C4245"/>
                <w:sz w:val="24"/>
                <w:szCs w:val="24"/>
                <w:lang w:eastAsia="en-GB"/>
              </w:rPr>
              <w:t>Optimizarea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utilizării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fondurilor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pentru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politici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inovatoare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privind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forța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muncă</w:t>
            </w:r>
            <w:proofErr w:type="spellEnd"/>
            <w:r w:rsidRPr="00D36D96">
              <w:rPr>
                <w:rFonts w:ascii="Arial" w:eastAsia="Times New Roman" w:hAnsi="Arial" w:cs="Arial"/>
                <w:color w:val="3C4245"/>
                <w:sz w:val="24"/>
                <w:szCs w:val="24"/>
                <w:lang w:eastAsia="en-GB"/>
              </w:rPr>
              <w:t>.</w:t>
            </w:r>
          </w:p>
          <w:p w14:paraId="501031E1" w14:textId="77777777" w:rsidR="00CD171F" w:rsidRPr="00CD171F" w:rsidRDefault="00CD171F" w:rsidP="00602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CD171F" w:rsidRPr="00CD171F" w14:paraId="019C320B" w14:textId="77777777" w:rsidTr="006021B6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6F06" w14:textId="77777777" w:rsidR="00CD171F" w:rsidRPr="00CD171F" w:rsidRDefault="00CD171F" w:rsidP="00602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171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lastRenderedPageBreak/>
              <w:t> </w:t>
            </w:r>
          </w:p>
        </w:tc>
      </w:tr>
      <w:tr w:rsidR="00CD171F" w:rsidRPr="00CD171F" w14:paraId="3757300C" w14:textId="77777777" w:rsidTr="006021B6">
        <w:tc>
          <w:tcPr>
            <w:tcW w:w="9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3FF6" w14:textId="66D0668F" w:rsidR="00CD171F" w:rsidRPr="00CD171F" w:rsidRDefault="00CD171F" w:rsidP="006021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F4D909E" w14:textId="77777777" w:rsidR="00CD171F" w:rsidRPr="00CD171F" w:rsidRDefault="00CD171F" w:rsidP="006021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2F3D644" w14:textId="63FB6020" w:rsidR="00CC27B4" w:rsidRDefault="00E65FE7" w:rsidP="00602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informații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rugăm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îl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contactați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pe </w:t>
            </w:r>
            <w:proofErr w:type="spellStart"/>
            <w:r w:rsidR="00CD171F"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Gyorgy</w:t>
            </w:r>
            <w:proofErr w:type="spellEnd"/>
            <w:r w:rsidR="00CD171F"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D171F"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Madarasz</w:t>
            </w:r>
            <w:proofErr w:type="spellEnd"/>
            <w:r w:rsidR="00CD171F"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</w:p>
          <w:p w14:paraId="4DB1C57B" w14:textId="2076CA1B" w:rsidR="00CD171F" w:rsidRPr="00CD171F" w:rsidRDefault="005F04C6" w:rsidP="006021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Ofițer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principal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presă</w:t>
            </w:r>
            <w:proofErr w:type="spellEnd"/>
            <w:r w:rsidR="00FA24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la:</w:t>
            </w:r>
            <w:r w:rsidR="00CD171F"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hyperlink r:id="rId8" w:tgtFrame="_blank" w:history="1">
              <w:r w:rsidR="00CD171F" w:rsidRPr="00CD171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madarasz@icn.ch</w:t>
              </w:r>
            </w:hyperlink>
            <w:r w:rsidR="00CD171F"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7F1CF7C" w14:textId="77777777" w:rsidR="00CD171F" w:rsidRPr="00CD171F" w:rsidRDefault="00CD171F" w:rsidP="006021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Tel: +41 22 908 01 16 </w:t>
            </w:r>
          </w:p>
          <w:p w14:paraId="52B18CAE" w14:textId="77777777" w:rsidR="00CD171F" w:rsidRPr="00CD171F" w:rsidRDefault="00CD171F" w:rsidP="006021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D17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06ED7BD" w14:textId="77777777" w:rsidR="00CD171F" w:rsidRPr="00CD171F" w:rsidRDefault="00834F70" w:rsidP="006021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9" w:tgtFrame="_blank" w:history="1">
              <w:r w:rsidR="00CD171F" w:rsidRPr="00CD171F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en-GB"/>
                </w:rPr>
                <w:t>www.icn.ch</w:t>
              </w:r>
            </w:hyperlink>
          </w:p>
        </w:tc>
      </w:tr>
    </w:tbl>
    <w:p w14:paraId="26DB13A7" w14:textId="77777777" w:rsidR="00CD171F" w:rsidRPr="00CD171F" w:rsidRDefault="00CD171F" w:rsidP="00CD171F">
      <w:pPr>
        <w:rPr>
          <w:rFonts w:ascii="Arial" w:hAnsi="Arial" w:cs="Arial"/>
          <w:sz w:val="24"/>
          <w:szCs w:val="24"/>
        </w:rPr>
      </w:pPr>
    </w:p>
    <w:p w14:paraId="56B7A14C" w14:textId="77777777" w:rsidR="00C417E9" w:rsidRPr="00CD171F" w:rsidRDefault="00C417E9">
      <w:pPr>
        <w:rPr>
          <w:rFonts w:ascii="Arial" w:hAnsi="Arial" w:cs="Arial"/>
          <w:sz w:val="24"/>
          <w:szCs w:val="24"/>
        </w:rPr>
      </w:pPr>
    </w:p>
    <w:sectPr w:rsidR="00C417E9" w:rsidRPr="00CD1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039"/>
    <w:multiLevelType w:val="multilevel"/>
    <w:tmpl w:val="FF1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265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1F"/>
    <w:rsid w:val="000F7892"/>
    <w:rsid w:val="00127C57"/>
    <w:rsid w:val="00151B0B"/>
    <w:rsid w:val="00325B78"/>
    <w:rsid w:val="005F04C6"/>
    <w:rsid w:val="00834F70"/>
    <w:rsid w:val="00C417E9"/>
    <w:rsid w:val="00CC27B4"/>
    <w:rsid w:val="00CD171F"/>
    <w:rsid w:val="00D36D96"/>
    <w:rsid w:val="00E65FE7"/>
    <w:rsid w:val="00F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AAE3"/>
  <w15:chartTrackingRefBased/>
  <w15:docId w15:val="{C9B15BDD-5C19-4786-8C42-0D0AC7A1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asz@icn.c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cn.ch/system/files/2022-01/Sustain%20and%20Retain%20in%202022%20and%20Beyond-%20The%20global%20nursing%20workforce%20and%20the%20COVID-19%20pandemi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o.int/europe/publications/i/item/97892890583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D5B3-08B5-4E19-97C2-DEE72BDC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ana.oglinda.chirita@gmail.com</dc:creator>
  <cp:keywords/>
  <dc:description/>
  <cp:lastModifiedBy>User</cp:lastModifiedBy>
  <cp:revision>2</cp:revision>
  <dcterms:created xsi:type="dcterms:W3CDTF">2022-09-19T11:36:00Z</dcterms:created>
  <dcterms:modified xsi:type="dcterms:W3CDTF">2022-09-19T11:36:00Z</dcterms:modified>
</cp:coreProperties>
</file>